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E346" w14:textId="7C8CF239" w:rsidR="00487D17" w:rsidRPr="00B01A6A" w:rsidRDefault="00CE2903">
      <w:pPr>
        <w:rPr>
          <w:b/>
          <w:bCs/>
          <w:sz w:val="24"/>
          <w:szCs w:val="24"/>
        </w:rPr>
      </w:pPr>
      <w:r w:rsidRPr="00B01A6A">
        <w:rPr>
          <w:b/>
          <w:bCs/>
          <w:sz w:val="24"/>
          <w:szCs w:val="24"/>
        </w:rPr>
        <w:t xml:space="preserve">Information for referrers </w:t>
      </w:r>
    </w:p>
    <w:p w14:paraId="0A183450" w14:textId="4A715787" w:rsidR="00CE2903" w:rsidRPr="00CE2903" w:rsidRDefault="00CE2903">
      <w:pPr>
        <w:rPr>
          <w:b/>
          <w:bCs/>
        </w:rPr>
      </w:pPr>
      <w:r w:rsidRPr="00CE2903">
        <w:rPr>
          <w:b/>
          <w:bCs/>
        </w:rPr>
        <w:t>Expectations</w:t>
      </w:r>
    </w:p>
    <w:p w14:paraId="5D659B2F" w14:textId="16C55B46" w:rsidR="006730D4" w:rsidRDefault="00490E68" w:rsidP="00490E68">
      <w:pPr>
        <w:pStyle w:val="ListParagraph"/>
        <w:numPr>
          <w:ilvl w:val="0"/>
          <w:numId w:val="1"/>
        </w:numPr>
      </w:pPr>
      <w:r>
        <w:t xml:space="preserve">Cooperation from both parents and carers </w:t>
      </w:r>
    </w:p>
    <w:p w14:paraId="5FD96231" w14:textId="2D4EC621" w:rsidR="00490E68" w:rsidRDefault="00490E68" w:rsidP="00490E68">
      <w:pPr>
        <w:pStyle w:val="ListParagraph"/>
        <w:numPr>
          <w:ilvl w:val="0"/>
          <w:numId w:val="1"/>
        </w:numPr>
      </w:pPr>
      <w:r>
        <w:t xml:space="preserve">Children </w:t>
      </w:r>
      <w:r w:rsidR="00D945A6">
        <w:t xml:space="preserve">reluctance – approach to engage </w:t>
      </w:r>
    </w:p>
    <w:p w14:paraId="07DB8211" w14:textId="0AAC5989" w:rsidR="00D945A6" w:rsidRDefault="00D945A6" w:rsidP="00490E68">
      <w:pPr>
        <w:pStyle w:val="ListParagraph"/>
        <w:numPr>
          <w:ilvl w:val="0"/>
          <w:numId w:val="1"/>
        </w:numPr>
      </w:pPr>
      <w:r>
        <w:t xml:space="preserve">Child refusal </w:t>
      </w:r>
      <w:r w:rsidR="000100C4">
        <w:t xml:space="preserve">– return to court </w:t>
      </w:r>
    </w:p>
    <w:p w14:paraId="1514CC05" w14:textId="584DD0A0" w:rsidR="00F7259E" w:rsidRDefault="0033213F" w:rsidP="00F7259E">
      <w:pPr>
        <w:pStyle w:val="ListParagraph"/>
        <w:numPr>
          <w:ilvl w:val="0"/>
          <w:numId w:val="1"/>
        </w:numPr>
      </w:pPr>
      <w:r>
        <w:t xml:space="preserve">Appreciate </w:t>
      </w:r>
      <w:r w:rsidR="0077490C">
        <w:t>timelines</w:t>
      </w:r>
      <w:r>
        <w:t xml:space="preserve"> and cour</w:t>
      </w:r>
      <w:r w:rsidR="00D218A3">
        <w:t>t</w:t>
      </w:r>
      <w:r>
        <w:t xml:space="preserve"> hearing </w:t>
      </w:r>
      <w:r w:rsidR="00D218A3">
        <w:t xml:space="preserve">dates </w:t>
      </w:r>
      <w:r>
        <w:t>but sessions</w:t>
      </w:r>
      <w:r w:rsidR="00D218A3">
        <w:t xml:space="preserve"> will depend on our availability and locating an appropriate </w:t>
      </w:r>
      <w:r w:rsidR="00125643">
        <w:t xml:space="preserve">venue if outreach.  We aim to propose a plan within two weeks of referral.  </w:t>
      </w:r>
    </w:p>
    <w:p w14:paraId="5F69FABF" w14:textId="77777777" w:rsidR="00F7259E" w:rsidRDefault="00F7259E" w:rsidP="00F7259E">
      <w:pPr>
        <w:rPr>
          <w:b/>
          <w:bCs/>
        </w:rPr>
      </w:pPr>
      <w:r>
        <w:br/>
      </w:r>
      <w:r>
        <w:rPr>
          <w:b/>
          <w:bCs/>
        </w:rPr>
        <w:t xml:space="preserve">Costs </w:t>
      </w:r>
    </w:p>
    <w:p w14:paraId="576BE86F" w14:textId="6C8D0ADF" w:rsidR="00116AEC" w:rsidRDefault="00116AEC" w:rsidP="00F7259E">
      <w:pPr>
        <w:pStyle w:val="ListParagraph"/>
        <w:numPr>
          <w:ilvl w:val="0"/>
          <w:numId w:val="2"/>
        </w:numPr>
      </w:pPr>
      <w:r>
        <w:t xml:space="preserve">Private </w:t>
      </w:r>
      <w:r w:rsidR="00A50A35">
        <w:t xml:space="preserve">&amp; Public Law referrals-please refer to charges attached. </w:t>
      </w:r>
    </w:p>
    <w:p w14:paraId="6C7880F8" w14:textId="5AEA2BEF" w:rsidR="000100C4" w:rsidRDefault="00A50A35" w:rsidP="00F7259E">
      <w:pPr>
        <w:pStyle w:val="ListParagraph"/>
        <w:numPr>
          <w:ilvl w:val="0"/>
          <w:numId w:val="2"/>
        </w:numPr>
      </w:pPr>
      <w:r>
        <w:t>Self-referrals</w:t>
      </w:r>
      <w:r w:rsidR="00DF4556">
        <w:t>-</w:t>
      </w:r>
      <w:r w:rsidR="00F7259E">
        <w:t xml:space="preserve">We </w:t>
      </w:r>
      <w:r w:rsidR="006C11F1">
        <w:t>continuously apply for funding to support fami</w:t>
      </w:r>
      <w:r w:rsidR="00CF61AD">
        <w:t xml:space="preserve">lies in financial </w:t>
      </w:r>
      <w:r w:rsidR="0077490C">
        <w:t>hardship but</w:t>
      </w:r>
      <w:r w:rsidR="00CF61AD">
        <w:t xml:space="preserve"> cannot guarantee support as grants are increasingly sparse to support this specialised work.  </w:t>
      </w:r>
    </w:p>
    <w:p w14:paraId="41763BCA" w14:textId="335F8C59" w:rsidR="00CF61AD" w:rsidRPr="00EE509E" w:rsidRDefault="00CF61AD" w:rsidP="00CF61AD">
      <w:pPr>
        <w:rPr>
          <w:b/>
          <w:bCs/>
        </w:rPr>
      </w:pPr>
      <w:r w:rsidRPr="00EE509E">
        <w:rPr>
          <w:b/>
          <w:bCs/>
        </w:rPr>
        <w:t xml:space="preserve">Reports &amp; Observations </w:t>
      </w:r>
    </w:p>
    <w:p w14:paraId="29ECD31C" w14:textId="302375A9" w:rsidR="00CF61AD" w:rsidRDefault="00B45148" w:rsidP="00CF61AD">
      <w:pPr>
        <w:pStyle w:val="ListParagraph"/>
        <w:numPr>
          <w:ilvl w:val="0"/>
          <w:numId w:val="2"/>
        </w:numPr>
      </w:pPr>
      <w:r>
        <w:t xml:space="preserve">Reports and observations inform part of the </w:t>
      </w:r>
      <w:r w:rsidR="00006929">
        <w:t xml:space="preserve">recommendations, but we are not responsible for the outcomes as these are assessed alongside </w:t>
      </w:r>
      <w:r w:rsidR="00E94F34">
        <w:t>other professionals who ha</w:t>
      </w:r>
      <w:r w:rsidR="00A50A35">
        <w:t>ve</w:t>
      </w:r>
      <w:r w:rsidR="00E94F34">
        <w:t xml:space="preserve"> access to information that we are not privy too.  </w:t>
      </w:r>
    </w:p>
    <w:p w14:paraId="748D6981" w14:textId="1DB8F028" w:rsidR="00887A2A" w:rsidRDefault="00887A2A" w:rsidP="00CF61AD">
      <w:pPr>
        <w:pStyle w:val="ListParagraph"/>
        <w:numPr>
          <w:ilvl w:val="0"/>
          <w:numId w:val="2"/>
        </w:numPr>
      </w:pPr>
      <w:r>
        <w:t xml:space="preserve">We will not participate in defending our reports. </w:t>
      </w:r>
    </w:p>
    <w:p w14:paraId="295FD91A" w14:textId="36CEC9A8" w:rsidR="00887A2A" w:rsidRDefault="00887A2A" w:rsidP="00CF61AD">
      <w:pPr>
        <w:pStyle w:val="ListParagraph"/>
        <w:numPr>
          <w:ilvl w:val="0"/>
          <w:numId w:val="2"/>
        </w:numPr>
      </w:pPr>
      <w:r>
        <w:t>Any safeguarding concerns will be addressed through our safeguarding policy and reports in line with this process.</w:t>
      </w:r>
      <w:r w:rsidR="003A4726">
        <w:t xml:space="preserve">  You will be notified unless we feel this puts a child or vulnerable adult at immediate risk.  </w:t>
      </w:r>
    </w:p>
    <w:p w14:paraId="1E18067E" w14:textId="18CFD634" w:rsidR="00135DEB" w:rsidRDefault="003A4726" w:rsidP="00CF61AD">
      <w:pPr>
        <w:pStyle w:val="ListParagraph"/>
        <w:numPr>
          <w:ilvl w:val="0"/>
          <w:numId w:val="2"/>
        </w:numPr>
      </w:pPr>
      <w:r>
        <w:t xml:space="preserve">ICFA </w:t>
      </w:r>
      <w:r w:rsidR="00784729">
        <w:t xml:space="preserve">(Improving Child and Family Arrangements) – </w:t>
      </w:r>
      <w:r w:rsidR="009975B8">
        <w:t>if</w:t>
      </w:r>
      <w:r w:rsidR="00784729">
        <w:t xml:space="preserve"> you have been court ordered under the ICFA then this is a funded but limited intervention to </w:t>
      </w:r>
      <w:r w:rsidR="00B66BBD">
        <w:t xml:space="preserve">inform the Family Court Advisors (FCA) </w:t>
      </w:r>
      <w:r w:rsidR="00116939">
        <w:t xml:space="preserve">recommendations at the next hearing.  The final report will be discussed with </w:t>
      </w:r>
      <w:r w:rsidR="0077490C">
        <w:t>you,</w:t>
      </w:r>
      <w:r w:rsidR="00116939">
        <w:t xml:space="preserve"> but we are unable to share the document </w:t>
      </w:r>
      <w:r w:rsidR="00135DEB">
        <w:t xml:space="preserve">with you.  </w:t>
      </w:r>
    </w:p>
    <w:p w14:paraId="43F15AB9" w14:textId="478C562D" w:rsidR="003A4726" w:rsidRDefault="00135DEB" w:rsidP="00CF61AD">
      <w:pPr>
        <w:pStyle w:val="ListParagraph"/>
        <w:numPr>
          <w:ilvl w:val="0"/>
          <w:numId w:val="2"/>
        </w:numPr>
      </w:pPr>
      <w:r>
        <w:t xml:space="preserve">Private Law reports – in the best interests of the child these reports </w:t>
      </w:r>
      <w:r w:rsidR="00015771">
        <w:t xml:space="preserve">are shared with both parents/carers who are then able to share this with professionals involved in their case and we will also be expected to make the report available </w:t>
      </w:r>
      <w:r w:rsidR="009F59FE">
        <w:t xml:space="preserve">to the Family Court Advisor/Guardian </w:t>
      </w:r>
      <w:r w:rsidR="00C06B63">
        <w:t xml:space="preserve">involved.  The report </w:t>
      </w:r>
      <w:r w:rsidR="00A50A35">
        <w:t>and its contents are</w:t>
      </w:r>
      <w:r w:rsidR="00C06B63">
        <w:t xml:space="preserve"> not to be shared with the children.</w:t>
      </w:r>
    </w:p>
    <w:p w14:paraId="4DB34EF5" w14:textId="70D69CB8" w:rsidR="00C06B63" w:rsidRDefault="00C06B63" w:rsidP="00CF61AD">
      <w:pPr>
        <w:pStyle w:val="ListParagraph"/>
        <w:numPr>
          <w:ilvl w:val="0"/>
          <w:numId w:val="2"/>
        </w:numPr>
      </w:pPr>
      <w:r>
        <w:t xml:space="preserve">Public Law Cases – There reports </w:t>
      </w:r>
      <w:r w:rsidR="009B490F">
        <w:t xml:space="preserve">are commissioned by the local authority/social worker </w:t>
      </w:r>
      <w:r w:rsidR="00D81290">
        <w:t xml:space="preserve">and reports will be shared with them only.  You will need to request these from the social worker.  </w:t>
      </w:r>
    </w:p>
    <w:p w14:paraId="616B6FAD" w14:textId="525B76A2" w:rsidR="00B90BB7" w:rsidRDefault="00B90BB7" w:rsidP="00B90BB7">
      <w:pPr>
        <w:ind w:left="404"/>
      </w:pPr>
      <w:r>
        <w:t xml:space="preserve">Sessions </w:t>
      </w:r>
      <w:r w:rsidR="00B01A6A">
        <w:t xml:space="preserve">or conversations </w:t>
      </w:r>
      <w:r>
        <w:t>being recorded will lead to your case being closed</w:t>
      </w:r>
      <w:r w:rsidR="00B01A6A">
        <w:t xml:space="preserve"> and the any professionals including the court will be informed.</w:t>
      </w:r>
    </w:p>
    <w:p w14:paraId="2BCB5877" w14:textId="40EF7F30" w:rsidR="00706247" w:rsidRDefault="00706247" w:rsidP="00B90BB7">
      <w:pPr>
        <w:ind w:left="404"/>
        <w:rPr>
          <w:b/>
          <w:bCs/>
        </w:rPr>
      </w:pPr>
      <w:r w:rsidRPr="00706247">
        <w:rPr>
          <w:b/>
          <w:bCs/>
        </w:rPr>
        <w:t>Payments</w:t>
      </w:r>
    </w:p>
    <w:p w14:paraId="28C8615B" w14:textId="77777777" w:rsidR="00F03203" w:rsidRDefault="00F03203" w:rsidP="00F03203">
      <w:pPr>
        <w:pStyle w:val="ListParagraph"/>
        <w:numPr>
          <w:ilvl w:val="0"/>
          <w:numId w:val="3"/>
        </w:numPr>
      </w:pPr>
      <w:r>
        <w:t>On agreeing for the referral to proceed you will be expected to pay for each session in advance via BACS.</w:t>
      </w:r>
    </w:p>
    <w:p w14:paraId="2A4B9988" w14:textId="7824C6DE" w:rsidR="00F03203" w:rsidRDefault="00F03203" w:rsidP="00F03203">
      <w:pPr>
        <w:pStyle w:val="ListParagraph"/>
        <w:numPr>
          <w:ilvl w:val="0"/>
          <w:numId w:val="3"/>
        </w:numPr>
      </w:pPr>
      <w:r>
        <w:t xml:space="preserve">The invoice will detail charges for up to four </w:t>
      </w:r>
      <w:r w:rsidR="0077490C">
        <w:t>sessions,</w:t>
      </w:r>
      <w:r>
        <w:t xml:space="preserve"> but you are only required to pay before each individual session.</w:t>
      </w:r>
    </w:p>
    <w:p w14:paraId="314DB619" w14:textId="0C21DE82" w:rsidR="00F03203" w:rsidRDefault="00F03203" w:rsidP="00F03203">
      <w:pPr>
        <w:pStyle w:val="ListParagraph"/>
        <w:numPr>
          <w:ilvl w:val="0"/>
          <w:numId w:val="3"/>
        </w:numPr>
      </w:pPr>
      <w:r>
        <w:lastRenderedPageBreak/>
        <w:t xml:space="preserve">If you are struggling to </w:t>
      </w:r>
      <w:r w:rsidR="0077490C">
        <w:t>pay,</w:t>
      </w:r>
      <w:r>
        <w:t xml:space="preserve"> please contact the finance office immediately as you are at risk of sessions being postponed.  As you will </w:t>
      </w:r>
      <w:r w:rsidR="0077490C">
        <w:t>appreciate,</w:t>
      </w:r>
      <w:r>
        <w:t xml:space="preserve"> we receive many referrals and any cancelled session cause a delay with another family being able to have fami</w:t>
      </w:r>
      <w:r w:rsidR="000E3DEC">
        <w:t>l</w:t>
      </w:r>
      <w:r>
        <w:t xml:space="preserve">y time.  </w:t>
      </w:r>
    </w:p>
    <w:p w14:paraId="118EA7CF" w14:textId="229740E5" w:rsidR="00F03203" w:rsidRPr="000E3DEC" w:rsidRDefault="00F03203" w:rsidP="000E3DEC">
      <w:pPr>
        <w:pStyle w:val="ListParagraph"/>
        <w:numPr>
          <w:ilvl w:val="0"/>
          <w:numId w:val="3"/>
        </w:numPr>
      </w:pPr>
      <w:r>
        <w:t xml:space="preserve">If you continue to delay payments and are unable to reach a payment </w:t>
      </w:r>
      <w:r w:rsidR="0077490C">
        <w:t>plan,</w:t>
      </w:r>
      <w:r>
        <w:t xml:space="preserve"> we reserve the right to cancel sessions until this is </w:t>
      </w:r>
      <w:r w:rsidR="00773802">
        <w:t>resolved,</w:t>
      </w:r>
      <w:r>
        <w:t xml:space="preserve"> and the other parent will be informed of the reason.   </w:t>
      </w:r>
    </w:p>
    <w:p w14:paraId="68DFB659" w14:textId="54B0966E" w:rsidR="00516778" w:rsidRDefault="00F03203" w:rsidP="000E3DEC">
      <w:pPr>
        <w:ind w:left="404"/>
        <w:rPr>
          <w:b/>
          <w:bCs/>
        </w:rPr>
      </w:pPr>
      <w:r>
        <w:rPr>
          <w:b/>
          <w:bCs/>
        </w:rPr>
        <w:t xml:space="preserve">Cancellations </w:t>
      </w:r>
    </w:p>
    <w:p w14:paraId="19A0F0F2" w14:textId="65481565" w:rsidR="000E3DEC" w:rsidRPr="00137C55" w:rsidRDefault="00BA719D" w:rsidP="000E3DEC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If we </w:t>
      </w:r>
      <w:r w:rsidR="00137C55">
        <w:t>cancel,</w:t>
      </w:r>
      <w:r>
        <w:t xml:space="preserve"> </w:t>
      </w:r>
      <w:r w:rsidR="008E5D24">
        <w:t xml:space="preserve">we will arrange a replacement session as soon as possible.  </w:t>
      </w:r>
    </w:p>
    <w:p w14:paraId="22EEF8A7" w14:textId="50B62621" w:rsidR="00137C55" w:rsidRPr="00707A74" w:rsidRDefault="00C0245A" w:rsidP="000E3DEC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We do understand that children can become ill at short notice </w:t>
      </w:r>
      <w:r w:rsidR="00707A74">
        <w:t xml:space="preserve">as well as parents or carers and this will incur a reduced charge.  </w:t>
      </w:r>
    </w:p>
    <w:p w14:paraId="49D114ED" w14:textId="149FFB13" w:rsidR="00707A74" w:rsidRPr="00E66375" w:rsidRDefault="00653297" w:rsidP="00E66375">
      <w:pPr>
        <w:pStyle w:val="ListParagraph"/>
        <w:numPr>
          <w:ilvl w:val="0"/>
          <w:numId w:val="4"/>
        </w:numPr>
        <w:rPr>
          <w:b/>
          <w:bCs/>
        </w:rPr>
      </w:pPr>
      <w:r>
        <w:t>If cancellations are made with 48 hour</w:t>
      </w:r>
      <w:r w:rsidR="00C64CA7">
        <w:t xml:space="preserve">’s </w:t>
      </w:r>
      <w:r>
        <w:t xml:space="preserve">notice or more then there will be no charge and if </w:t>
      </w:r>
      <w:r w:rsidR="00773802">
        <w:t>possible,</w:t>
      </w:r>
      <w:r>
        <w:t xml:space="preserve"> the session will be rearranged.  </w:t>
      </w:r>
    </w:p>
    <w:p w14:paraId="54EA4ED1" w14:textId="7C4888FC" w:rsidR="00E66375" w:rsidRPr="00E66375" w:rsidRDefault="00C64CA7" w:rsidP="00E66375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LOCAL AUTHORITY ONLY: </w:t>
      </w:r>
      <w:r>
        <w:t xml:space="preserve">If parents are not attending 48 hour’s notice must be given otherwise full payment is required.  </w:t>
      </w:r>
    </w:p>
    <w:p w14:paraId="1969B12A" w14:textId="31305A22" w:rsidR="00E66375" w:rsidRDefault="00E66375" w:rsidP="00E66375">
      <w:pPr>
        <w:ind w:left="404"/>
        <w:rPr>
          <w:b/>
          <w:bCs/>
        </w:rPr>
      </w:pPr>
      <w:r>
        <w:t xml:space="preserve"> </w:t>
      </w:r>
      <w:r>
        <w:rPr>
          <w:b/>
          <w:bCs/>
        </w:rPr>
        <w:t xml:space="preserve">Behaviours </w:t>
      </w:r>
    </w:p>
    <w:p w14:paraId="12B134AE" w14:textId="75B6E159" w:rsidR="00E66375" w:rsidRPr="00E66375" w:rsidRDefault="000565BA" w:rsidP="00E66375">
      <w:pPr>
        <w:pStyle w:val="ListParagraph"/>
        <w:numPr>
          <w:ilvl w:val="0"/>
          <w:numId w:val="5"/>
        </w:numPr>
        <w:rPr>
          <w:b/>
          <w:bCs/>
        </w:rPr>
      </w:pPr>
      <w:r>
        <w:t>We will treat you with respect, courtesy and understanding.  We expect that you equally respect our knowledge, expertise</w:t>
      </w:r>
      <w:r w:rsidR="002D4538">
        <w:t xml:space="preserve">, commitment and compassion.  We do not tolerate aggression, harassment or undermining of our team.  We do not take responsibility for court outcomes.  </w:t>
      </w:r>
    </w:p>
    <w:p w14:paraId="1C99F116" w14:textId="06BE5A33" w:rsidR="00E66375" w:rsidRPr="00E66375" w:rsidRDefault="00E66375" w:rsidP="00E66375">
      <w:pPr>
        <w:rPr>
          <w:b/>
          <w:bCs/>
        </w:rPr>
      </w:pPr>
    </w:p>
    <w:sectPr w:rsidR="00E66375" w:rsidRPr="00E6637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DACC" w14:textId="77777777" w:rsidR="0018795C" w:rsidRDefault="0018795C" w:rsidP="0018795C">
      <w:pPr>
        <w:spacing w:after="0" w:line="240" w:lineRule="auto"/>
      </w:pPr>
      <w:r>
        <w:separator/>
      </w:r>
    </w:p>
  </w:endnote>
  <w:endnote w:type="continuationSeparator" w:id="0">
    <w:p w14:paraId="21ADC900" w14:textId="77777777" w:rsidR="0018795C" w:rsidRDefault="0018795C" w:rsidP="0018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E357" w14:textId="54C8FC93" w:rsidR="00B01A6A" w:rsidRPr="00B01A6A" w:rsidRDefault="00B01A6A">
    <w:pPr>
      <w:pStyle w:val="Footer"/>
      <w:rPr>
        <w:lang w:val="en-US"/>
      </w:rPr>
    </w:pPr>
    <w:r>
      <w:rPr>
        <w:lang w:val="en-US"/>
      </w:rPr>
      <w:t>August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B7A9" w14:textId="77777777" w:rsidR="0018795C" w:rsidRDefault="0018795C" w:rsidP="0018795C">
      <w:pPr>
        <w:spacing w:after="0" w:line="240" w:lineRule="auto"/>
      </w:pPr>
      <w:r>
        <w:separator/>
      </w:r>
    </w:p>
  </w:footnote>
  <w:footnote w:type="continuationSeparator" w:id="0">
    <w:p w14:paraId="4B2D7263" w14:textId="77777777" w:rsidR="0018795C" w:rsidRDefault="0018795C" w:rsidP="0018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8D74" w14:textId="09A60836" w:rsidR="0035742C" w:rsidRDefault="0035742C" w:rsidP="0035742C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106A42" wp14:editId="47A47057">
          <wp:simplePos x="0" y="0"/>
          <wp:positionH relativeFrom="margin">
            <wp:posOffset>2466340</wp:posOffset>
          </wp:positionH>
          <wp:positionV relativeFrom="paragraph">
            <wp:posOffset>-337185</wp:posOffset>
          </wp:positionV>
          <wp:extent cx="799200" cy="799200"/>
          <wp:effectExtent l="0" t="0" r="0" b="0"/>
          <wp:wrapTight wrapText="bothSides">
            <wp:wrapPolygon edited="0">
              <wp:start x="13393" y="0"/>
              <wp:lineTo x="6181" y="515"/>
              <wp:lineTo x="515" y="4121"/>
              <wp:lineTo x="1030" y="19059"/>
              <wp:lineTo x="3091" y="20604"/>
              <wp:lineTo x="6696" y="21119"/>
              <wp:lineTo x="9272" y="21119"/>
              <wp:lineTo x="18029" y="20604"/>
              <wp:lineTo x="20604" y="19574"/>
              <wp:lineTo x="20604" y="4636"/>
              <wp:lineTo x="19059" y="1545"/>
              <wp:lineTo x="15968" y="0"/>
              <wp:lineTo x="13393" y="0"/>
            </wp:wrapPolygon>
          </wp:wrapTight>
          <wp:docPr id="2067684340" name="Picture 1" descr="A group of houses with peopl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684340" name="Picture 1" descr="A group of houses with people in the mid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79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 wp14:anchorId="48B18B15" wp14:editId="6F35B5F3">
          <wp:simplePos x="0" y="0"/>
          <wp:positionH relativeFrom="column">
            <wp:posOffset>5276850</wp:posOffset>
          </wp:positionH>
          <wp:positionV relativeFrom="paragraph">
            <wp:posOffset>-195580</wp:posOffset>
          </wp:positionV>
          <wp:extent cx="1066074" cy="660400"/>
          <wp:effectExtent l="0" t="0" r="0" b="0"/>
          <wp:wrapTight wrapText="bothSides">
            <wp:wrapPolygon edited="0">
              <wp:start x="1931" y="0"/>
              <wp:lineTo x="0" y="1246"/>
              <wp:lineTo x="0" y="14954"/>
              <wp:lineTo x="11585" y="21185"/>
              <wp:lineTo x="19695" y="21185"/>
              <wp:lineTo x="21240" y="19938"/>
              <wp:lineTo x="21240" y="12462"/>
              <wp:lineTo x="19695" y="9969"/>
              <wp:lineTo x="21240" y="9969"/>
              <wp:lineTo x="21240" y="1869"/>
              <wp:lineTo x="9268" y="0"/>
              <wp:lineTo x="1931" y="0"/>
            </wp:wrapPolygon>
          </wp:wrapTight>
          <wp:docPr id="1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074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FDC44" w14:textId="6AE90D09" w:rsidR="0018795C" w:rsidRDefault="00187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24E9"/>
    <w:multiLevelType w:val="hybridMultilevel"/>
    <w:tmpl w:val="4B9E4E26"/>
    <w:lvl w:ilvl="0" w:tplc="08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" w15:restartNumberingAfterBreak="0">
    <w:nsid w:val="24406581"/>
    <w:multiLevelType w:val="hybridMultilevel"/>
    <w:tmpl w:val="8612D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F5AB1"/>
    <w:multiLevelType w:val="hybridMultilevel"/>
    <w:tmpl w:val="F1865FFA"/>
    <w:lvl w:ilvl="0" w:tplc="08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" w15:restartNumberingAfterBreak="0">
    <w:nsid w:val="5C805D5C"/>
    <w:multiLevelType w:val="hybridMultilevel"/>
    <w:tmpl w:val="BDDAC556"/>
    <w:lvl w:ilvl="0" w:tplc="08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4" w15:restartNumberingAfterBreak="0">
    <w:nsid w:val="5E053BC7"/>
    <w:multiLevelType w:val="hybridMultilevel"/>
    <w:tmpl w:val="2FD2DE34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121806430">
    <w:abstractNumId w:val="1"/>
  </w:num>
  <w:num w:numId="2" w16cid:durableId="2029520317">
    <w:abstractNumId w:val="4"/>
  </w:num>
  <w:num w:numId="3" w16cid:durableId="425686865">
    <w:abstractNumId w:val="0"/>
  </w:num>
  <w:num w:numId="4" w16cid:durableId="1480264001">
    <w:abstractNumId w:val="2"/>
  </w:num>
  <w:num w:numId="5" w16cid:durableId="212503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191"/>
    <w:rsid w:val="00006929"/>
    <w:rsid w:val="000100C4"/>
    <w:rsid w:val="00015771"/>
    <w:rsid w:val="000565BA"/>
    <w:rsid w:val="000E3DEC"/>
    <w:rsid w:val="00116939"/>
    <w:rsid w:val="00116AEC"/>
    <w:rsid w:val="00125643"/>
    <w:rsid w:val="00135DEB"/>
    <w:rsid w:val="00137C55"/>
    <w:rsid w:val="0018261A"/>
    <w:rsid w:val="0018795C"/>
    <w:rsid w:val="001C5C67"/>
    <w:rsid w:val="002634BD"/>
    <w:rsid w:val="002B782A"/>
    <w:rsid w:val="002D4538"/>
    <w:rsid w:val="002F2C99"/>
    <w:rsid w:val="0033213F"/>
    <w:rsid w:val="0035742C"/>
    <w:rsid w:val="003A4726"/>
    <w:rsid w:val="003C748E"/>
    <w:rsid w:val="003F5FB0"/>
    <w:rsid w:val="00487D17"/>
    <w:rsid w:val="00490E68"/>
    <w:rsid w:val="00516778"/>
    <w:rsid w:val="00653297"/>
    <w:rsid w:val="006730D4"/>
    <w:rsid w:val="006A6191"/>
    <w:rsid w:val="006C11F1"/>
    <w:rsid w:val="00706247"/>
    <w:rsid w:val="00707A74"/>
    <w:rsid w:val="00773802"/>
    <w:rsid w:val="0077490C"/>
    <w:rsid w:val="00784729"/>
    <w:rsid w:val="00863B73"/>
    <w:rsid w:val="00887A2A"/>
    <w:rsid w:val="008E5D24"/>
    <w:rsid w:val="009474D2"/>
    <w:rsid w:val="009975B8"/>
    <w:rsid w:val="009B490F"/>
    <w:rsid w:val="009F59FE"/>
    <w:rsid w:val="00A50A35"/>
    <w:rsid w:val="00B01A6A"/>
    <w:rsid w:val="00B45148"/>
    <w:rsid w:val="00B66BBD"/>
    <w:rsid w:val="00B90BB7"/>
    <w:rsid w:val="00BA719D"/>
    <w:rsid w:val="00BB38AB"/>
    <w:rsid w:val="00C0245A"/>
    <w:rsid w:val="00C06B63"/>
    <w:rsid w:val="00C64CA7"/>
    <w:rsid w:val="00CE2903"/>
    <w:rsid w:val="00CF61AD"/>
    <w:rsid w:val="00D218A3"/>
    <w:rsid w:val="00D81290"/>
    <w:rsid w:val="00D945A6"/>
    <w:rsid w:val="00DD664A"/>
    <w:rsid w:val="00DF4556"/>
    <w:rsid w:val="00E45BE5"/>
    <w:rsid w:val="00E66375"/>
    <w:rsid w:val="00E76D11"/>
    <w:rsid w:val="00E94F34"/>
    <w:rsid w:val="00E9640F"/>
    <w:rsid w:val="00EE509E"/>
    <w:rsid w:val="00F03203"/>
    <w:rsid w:val="00F7259E"/>
    <w:rsid w:val="00F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F1C63"/>
  <w15:chartTrackingRefBased/>
  <w15:docId w15:val="{BD58E94C-6A68-4A49-B2B2-4B1084EC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1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7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95C"/>
  </w:style>
  <w:style w:type="paragraph" w:styleId="Footer">
    <w:name w:val="footer"/>
    <w:basedOn w:val="Normal"/>
    <w:link w:val="FooterChar"/>
    <w:uiPriority w:val="99"/>
    <w:unhideWhenUsed/>
    <w:rsid w:val="00187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5C"/>
  </w:style>
  <w:style w:type="paragraph" w:styleId="NormalWeb">
    <w:name w:val="Normal (Web)"/>
    <w:basedOn w:val="Normal"/>
    <w:uiPriority w:val="99"/>
    <w:semiHidden/>
    <w:unhideWhenUsed/>
    <w:rsid w:val="0035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C5E09D74A0A41ABD3A4B7CA3F951C" ma:contentTypeVersion="18" ma:contentTypeDescription="Create a new document." ma:contentTypeScope="" ma:versionID="06696dfb792137ee0ac2c7642cdb42ba">
  <xsd:schema xmlns:xsd="http://www.w3.org/2001/XMLSchema" xmlns:xs="http://www.w3.org/2001/XMLSchema" xmlns:p="http://schemas.microsoft.com/office/2006/metadata/properties" xmlns:ns2="e346a1e1-f971-4405-b381-b514a03981c7" xmlns:ns3="657d29d1-d01b-43b9-93f3-68c71268df2f" targetNamespace="http://schemas.microsoft.com/office/2006/metadata/properties" ma:root="true" ma:fieldsID="af446ec35326b44d5928c9cf6994efa2" ns2:_="" ns3:_="">
    <xsd:import namespace="e346a1e1-f971-4405-b381-b514a03981c7"/>
    <xsd:import namespace="657d29d1-d01b-43b9-93f3-68c71268d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6a1e1-f971-4405-b381-b514a0398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88304-1598-4bcb-a36c-c5f3063ec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29d1-d01b-43b9-93f3-68c71268d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13327e-9d72-4543-8edb-95f8299e7bf3}" ma:internalName="TaxCatchAll" ma:showField="CatchAllData" ma:web="657d29d1-d01b-43b9-93f3-68c71268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7d29d1-d01b-43b9-93f3-68c71268df2f" xsi:nil="true"/>
    <lcf76f155ced4ddcb4097134ff3c332f xmlns="e346a1e1-f971-4405-b381-b514a03981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CC8DD-C9B4-4DD4-A61B-E15BE107A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6a1e1-f971-4405-b381-b514a03981c7"/>
    <ds:schemaRef ds:uri="657d29d1-d01b-43b9-93f3-68c71268d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CEBC1-B38A-4217-8011-36EF0D89E601}">
  <ds:schemaRefs>
    <ds:schemaRef ds:uri="http://schemas.microsoft.com/office/2006/metadata/properties"/>
    <ds:schemaRef ds:uri="http://schemas.microsoft.com/office/infopath/2007/PartnerControls"/>
    <ds:schemaRef ds:uri="657d29d1-d01b-43b9-93f3-68c71268df2f"/>
    <ds:schemaRef ds:uri="e346a1e1-f971-4405-b381-b514a03981c7"/>
  </ds:schemaRefs>
</ds:datastoreItem>
</file>

<file path=customXml/itemProps3.xml><?xml version="1.0" encoding="utf-8"?>
<ds:datastoreItem xmlns:ds="http://schemas.openxmlformats.org/officeDocument/2006/customXml" ds:itemID="{71684C8E-2044-449A-9D5C-8C997E517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615</Words>
  <Characters>2971</Characters>
  <Application>Microsoft Office Word</Application>
  <DocSecurity>0</DocSecurity>
  <Lines>46</Lines>
  <Paragraphs>11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Cole</dc:creator>
  <cp:keywords/>
  <dc:description/>
  <cp:lastModifiedBy>Emma Cameron</cp:lastModifiedBy>
  <cp:revision>62</cp:revision>
  <dcterms:created xsi:type="dcterms:W3CDTF">2025-11-08T10:08:00Z</dcterms:created>
  <dcterms:modified xsi:type="dcterms:W3CDTF">2025-12-20T11:39:00Z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0x01010007FC5E09D74A0A41ABD3A4B7CA3F951C</vt:lpwstr>
  </property>
  <property fmtid="{D5CDD505-2E9C-101B-9397-08002B2CF9AE}" pid="3" name="MediaServiceImageTags">
    <vt:lpwstr/>
  </property>
</Properties>
</file>